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3A5B0" w14:textId="77777777" w:rsidR="00BF1DFC" w:rsidRDefault="00A84826">
      <w:pPr>
        <w:keepNext/>
        <w:spacing w:before="360" w:line="276" w:lineRule="auto"/>
        <w:rPr>
          <w:rFonts w:hint="eastAsia"/>
        </w:rPr>
      </w:pPr>
      <w:r>
        <w:rPr>
          <w:b/>
          <w:color w:val="0C686F"/>
          <w:sz w:val="18"/>
        </w:rPr>
        <w:t>WEBINAR RESOURCE COLLECTION</w:t>
      </w:r>
    </w:p>
    <w:p w14:paraId="58280D8E" w14:textId="77777777" w:rsidR="00BF1DFC" w:rsidRDefault="00A84826" w:rsidP="004E198A">
      <w:pPr>
        <w:pStyle w:val="Title"/>
        <w:spacing w:after="180" w:line="276" w:lineRule="auto"/>
        <w:jc w:val="center"/>
      </w:pPr>
      <w:r>
        <w:rPr>
          <w:rFonts w:ascii="Inter" w:hAnsi="Inter"/>
          <w:sz w:val="44"/>
        </w:rPr>
        <w:t>How to Design Assignments Students Can’t Outsource to AI</w:t>
      </w:r>
    </w:p>
    <w:p w14:paraId="139CD868" w14:textId="77777777" w:rsidR="00BF1DFC" w:rsidRDefault="00A84826">
      <w:pPr>
        <w:pBdr>
          <w:bottom w:val="single" w:sz="13" w:space="6" w:color="127F87"/>
        </w:pBdr>
        <w:spacing w:after="260" w:line="300" w:lineRule="auto"/>
        <w:rPr>
          <w:rFonts w:hint="eastAsia"/>
        </w:rPr>
      </w:pPr>
      <w:r>
        <w:rPr>
          <w:color w:val="526473"/>
        </w:rPr>
        <w:t>Stephen Murgatroyd  •  20 October 2026  •  Curated from the live session chat</w:t>
      </w:r>
    </w:p>
    <w:p w14:paraId="0326D3C5" w14:textId="6D8F3CD8" w:rsidR="00BF1DFC" w:rsidRDefault="00A84826">
      <w:pPr>
        <w:spacing w:after="180" w:line="276" w:lineRule="auto"/>
        <w:rPr>
          <w:rFonts w:hint="eastAsia"/>
        </w:rPr>
      </w:pPr>
      <w:r>
        <w:rPr>
          <w:b/>
          <w:color w:val="14314A"/>
        </w:rPr>
        <w:t xml:space="preserve">A practical companion to the webinar: </w:t>
      </w:r>
      <w:r>
        <w:rPr>
          <w:color w:val="526473"/>
        </w:rPr>
        <w:t xml:space="preserve">eight direct links shared </w:t>
      </w:r>
      <w:r w:rsidR="004E198A">
        <w:rPr>
          <w:color w:val="526473"/>
        </w:rPr>
        <w:t xml:space="preserve">in the </w:t>
      </w:r>
      <w:proofErr w:type="gramStart"/>
      <w:r w:rsidR="004E198A">
        <w:rPr>
          <w:color w:val="526473"/>
        </w:rPr>
        <w:t>chat  by</w:t>
      </w:r>
      <w:proofErr w:type="gramEnd"/>
      <w:r w:rsidR="004E198A">
        <w:rPr>
          <w:color w:val="526473"/>
        </w:rPr>
        <w:t xml:space="preserve"> participants </w:t>
      </w:r>
      <w:r>
        <w:rPr>
          <w:color w:val="526473"/>
        </w:rPr>
        <w:t xml:space="preserve">during the </w:t>
      </w:r>
      <w:proofErr w:type="gramStart"/>
      <w:r>
        <w:rPr>
          <w:color w:val="526473"/>
        </w:rPr>
        <w:t>session</w:t>
      </w:r>
      <w:r w:rsidR="004E198A">
        <w:rPr>
          <w:color w:val="526473"/>
        </w:rPr>
        <w:t>.</w:t>
      </w:r>
      <w:r>
        <w:rPr>
          <w:color w:val="526473"/>
        </w:rPr>
        <w:t>.</w:t>
      </w:r>
      <w:proofErr w:type="gramEnd"/>
      <w:r>
        <w:rPr>
          <w:color w:val="526473"/>
        </w:rPr>
        <w:t xml:space="preserve"> All linked addresses are clickable.</w:t>
      </w:r>
    </w:p>
    <w:p w14:paraId="0396D2B5" w14:textId="77777777" w:rsidR="00BF1DFC" w:rsidRDefault="00A84826">
      <w:pPr>
        <w:keepNext/>
        <w:spacing w:before="260" w:after="60" w:line="276" w:lineRule="auto"/>
        <w:rPr>
          <w:rFonts w:hint="eastAsia"/>
        </w:rPr>
      </w:pPr>
      <w:r>
        <w:rPr>
          <w:b/>
          <w:color w:val="127F87"/>
        </w:rPr>
        <w:t xml:space="preserve">01  </w:t>
      </w:r>
      <w:r>
        <w:rPr>
          <w:b/>
          <w:color w:val="14314A"/>
          <w:sz w:val="24"/>
        </w:rPr>
        <w:t>Assessment design &amp; teaching resources</w:t>
      </w:r>
    </w:p>
    <w:tbl>
      <w:tblPr>
        <w:tblW w:w="0" w:type="auto"/>
        <w:jc w:val="center"/>
        <w:tblLayout w:type="fixed"/>
        <w:tblLook w:val="04A0" w:firstRow="1" w:lastRow="0" w:firstColumn="1" w:lastColumn="0" w:noHBand="0" w:noVBand="1"/>
      </w:tblPr>
      <w:tblGrid>
        <w:gridCol w:w="734"/>
        <w:gridCol w:w="9101"/>
      </w:tblGrid>
      <w:tr w:rsidR="00BF1DFC" w14:paraId="32B12A5C" w14:textId="77777777">
        <w:trPr>
          <w:cantSplit/>
          <w:jc w:val="center"/>
        </w:trPr>
        <w:tc>
          <w:tcPr>
            <w:tcW w:w="734" w:type="dxa"/>
            <w:shd w:val="clear" w:color="auto" w:fill="E9F3F4"/>
            <w:tcMar>
              <w:top w:w="130" w:type="dxa"/>
              <w:left w:w="58" w:type="dxa"/>
              <w:bottom w:w="115" w:type="dxa"/>
              <w:right w:w="40" w:type="dxa"/>
            </w:tcMar>
            <w:vAlign w:val="center"/>
          </w:tcPr>
          <w:p w14:paraId="4C1E2EB1" w14:textId="77777777" w:rsidR="00BF1DFC" w:rsidRDefault="00A84826">
            <w:pPr>
              <w:spacing w:after="0" w:line="276" w:lineRule="auto"/>
              <w:jc w:val="center"/>
              <w:rPr>
                <w:rFonts w:hint="eastAsia"/>
              </w:rPr>
            </w:pPr>
            <w:r>
              <w:rPr>
                <w:b/>
                <w:color w:val="0C686F"/>
                <w:sz w:val="21"/>
              </w:rPr>
              <w:t>01</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3CF20AF7" w14:textId="77777777" w:rsidR="00BF1DFC" w:rsidRDefault="00A84826">
            <w:pPr>
              <w:spacing w:after="40" w:line="276" w:lineRule="auto"/>
              <w:rPr>
                <w:rFonts w:hint="eastAsia"/>
              </w:rPr>
            </w:pPr>
            <w:r>
              <w:rPr>
                <w:b/>
                <w:color w:val="14314A"/>
                <w:sz w:val="21"/>
              </w:rPr>
              <w:t>Co-Thinking with AI</w:t>
            </w:r>
          </w:p>
          <w:p w14:paraId="2C9B8C02" w14:textId="77777777" w:rsidR="00BF1DFC" w:rsidRDefault="00A84826">
            <w:pPr>
              <w:spacing w:after="40" w:line="283" w:lineRule="auto"/>
              <w:rPr>
                <w:rFonts w:hint="eastAsia"/>
              </w:rPr>
            </w:pPr>
            <w:r>
              <w:rPr>
                <w:sz w:val="18"/>
              </w:rPr>
              <w:t>Humber Polytechnic tutorial shared as a resource for considering AI-supported thinking and learning.</w:t>
            </w:r>
          </w:p>
          <w:p w14:paraId="6657003E" w14:textId="2B1E0B21" w:rsidR="00BF1DFC" w:rsidRDefault="00A84826">
            <w:pPr>
              <w:spacing w:after="0" w:line="283" w:lineRule="auto"/>
              <w:rPr>
                <w:rFonts w:hint="eastAsia"/>
              </w:rPr>
            </w:pPr>
            <w:r>
              <w:rPr>
                <w:color w:val="526473"/>
                <w:sz w:val="16"/>
              </w:rPr>
              <w:t xml:space="preserve">·  </w:t>
            </w:r>
            <w:hyperlink r:id="rId8">
              <w:r>
                <w:rPr>
                  <w:b/>
                  <w:color w:val="0C686F"/>
                  <w:sz w:val="18"/>
                  <w:u w:val="single"/>
                </w:rPr>
                <w:t>library.humber.ca • AI Minutes</w:t>
              </w:r>
            </w:hyperlink>
          </w:p>
        </w:tc>
      </w:tr>
    </w:tbl>
    <w:p w14:paraId="51B2CB1C" w14:textId="77777777" w:rsidR="00BF1DFC" w:rsidRDefault="00BF1DFC">
      <w:pPr>
        <w:spacing w:after="20" w:line="240" w:lineRule="auto"/>
        <w:rPr>
          <w:rFonts w:hint="eastAsia"/>
        </w:rPr>
      </w:pPr>
    </w:p>
    <w:tbl>
      <w:tblPr>
        <w:tblW w:w="0" w:type="auto"/>
        <w:jc w:val="center"/>
        <w:tblLayout w:type="fixed"/>
        <w:tblLook w:val="04A0" w:firstRow="1" w:lastRow="0" w:firstColumn="1" w:lastColumn="0" w:noHBand="0" w:noVBand="1"/>
      </w:tblPr>
      <w:tblGrid>
        <w:gridCol w:w="734"/>
        <w:gridCol w:w="9101"/>
      </w:tblGrid>
      <w:tr w:rsidR="00BF1DFC" w14:paraId="037831B0" w14:textId="77777777">
        <w:trPr>
          <w:cantSplit/>
          <w:jc w:val="center"/>
        </w:trPr>
        <w:tc>
          <w:tcPr>
            <w:tcW w:w="734" w:type="dxa"/>
            <w:shd w:val="clear" w:color="auto" w:fill="E9F3F4"/>
            <w:tcMar>
              <w:top w:w="130" w:type="dxa"/>
              <w:left w:w="58" w:type="dxa"/>
              <w:bottom w:w="115" w:type="dxa"/>
              <w:right w:w="40" w:type="dxa"/>
            </w:tcMar>
            <w:vAlign w:val="center"/>
          </w:tcPr>
          <w:p w14:paraId="5326DA25" w14:textId="77777777" w:rsidR="00BF1DFC" w:rsidRDefault="00A84826">
            <w:pPr>
              <w:spacing w:after="0" w:line="276" w:lineRule="auto"/>
              <w:jc w:val="center"/>
              <w:rPr>
                <w:rFonts w:hint="eastAsia"/>
              </w:rPr>
            </w:pPr>
            <w:r>
              <w:rPr>
                <w:b/>
                <w:color w:val="0C686F"/>
                <w:sz w:val="21"/>
              </w:rPr>
              <w:t>02</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148BA9A4" w14:textId="77777777" w:rsidR="00BF1DFC" w:rsidRDefault="00A84826">
            <w:pPr>
              <w:spacing w:after="40" w:line="276" w:lineRule="auto"/>
              <w:rPr>
                <w:rFonts w:hint="eastAsia"/>
              </w:rPr>
            </w:pPr>
            <w:r>
              <w:rPr>
                <w:b/>
                <w:color w:val="14314A"/>
                <w:sz w:val="21"/>
              </w:rPr>
              <w:t>Revising an Assignment for Deeper Reflection</w:t>
            </w:r>
          </w:p>
          <w:p w14:paraId="4CF7B725" w14:textId="77777777" w:rsidR="00BF1DFC" w:rsidRDefault="00A84826">
            <w:pPr>
              <w:spacing w:after="40" w:line="283" w:lineRule="auto"/>
              <w:rPr>
                <w:rFonts w:hint="eastAsia"/>
              </w:rPr>
            </w:pPr>
            <w:r>
              <w:rPr>
                <w:sz w:val="18"/>
              </w:rPr>
              <w:t>Open education chapter identified in chat as a resource containing a reusable assignment.</w:t>
            </w:r>
          </w:p>
          <w:p w14:paraId="5639D39E" w14:textId="3A9DB0C1" w:rsidR="00BF1DFC" w:rsidRDefault="00A84826">
            <w:pPr>
              <w:spacing w:after="0" w:line="283" w:lineRule="auto"/>
              <w:rPr>
                <w:rFonts w:hint="eastAsia"/>
              </w:rPr>
            </w:pPr>
            <w:r>
              <w:rPr>
                <w:color w:val="526473"/>
                <w:sz w:val="16"/>
              </w:rPr>
              <w:t xml:space="preserve">·  </w:t>
            </w:r>
            <w:hyperlink r:id="rId9">
              <w:r>
                <w:rPr>
                  <w:b/>
                  <w:color w:val="0C686F"/>
                  <w:sz w:val="18"/>
                  <w:u w:val="single"/>
                </w:rPr>
                <w:t>ecampusontario.pressbooks.pub • View chapter</w:t>
              </w:r>
            </w:hyperlink>
          </w:p>
        </w:tc>
      </w:tr>
    </w:tbl>
    <w:p w14:paraId="3516E5E2" w14:textId="77777777" w:rsidR="00BF1DFC" w:rsidRDefault="00BF1DFC">
      <w:pPr>
        <w:spacing w:after="20" w:line="240" w:lineRule="auto"/>
        <w:rPr>
          <w:rFonts w:hint="eastAsia"/>
        </w:rPr>
      </w:pPr>
    </w:p>
    <w:tbl>
      <w:tblPr>
        <w:tblW w:w="0" w:type="auto"/>
        <w:jc w:val="center"/>
        <w:tblLayout w:type="fixed"/>
        <w:tblLook w:val="04A0" w:firstRow="1" w:lastRow="0" w:firstColumn="1" w:lastColumn="0" w:noHBand="0" w:noVBand="1"/>
      </w:tblPr>
      <w:tblGrid>
        <w:gridCol w:w="734"/>
        <w:gridCol w:w="9101"/>
      </w:tblGrid>
      <w:tr w:rsidR="00BF1DFC" w14:paraId="678CA34E" w14:textId="77777777">
        <w:trPr>
          <w:cantSplit/>
          <w:jc w:val="center"/>
        </w:trPr>
        <w:tc>
          <w:tcPr>
            <w:tcW w:w="734" w:type="dxa"/>
            <w:shd w:val="clear" w:color="auto" w:fill="E9F3F4"/>
            <w:tcMar>
              <w:top w:w="130" w:type="dxa"/>
              <w:left w:w="58" w:type="dxa"/>
              <w:bottom w:w="115" w:type="dxa"/>
              <w:right w:w="40" w:type="dxa"/>
            </w:tcMar>
            <w:vAlign w:val="center"/>
          </w:tcPr>
          <w:p w14:paraId="4A7DEABD" w14:textId="77777777" w:rsidR="00BF1DFC" w:rsidRDefault="00A84826">
            <w:pPr>
              <w:spacing w:after="0" w:line="276" w:lineRule="auto"/>
              <w:jc w:val="center"/>
              <w:rPr>
                <w:rFonts w:hint="eastAsia"/>
              </w:rPr>
            </w:pPr>
            <w:r>
              <w:rPr>
                <w:b/>
                <w:color w:val="0C686F"/>
                <w:sz w:val="21"/>
              </w:rPr>
              <w:t>03</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5BA3341E" w14:textId="77777777" w:rsidR="00BF1DFC" w:rsidRDefault="00A84826">
            <w:pPr>
              <w:spacing w:after="40" w:line="276" w:lineRule="auto"/>
              <w:rPr>
                <w:rFonts w:hint="eastAsia"/>
              </w:rPr>
            </w:pPr>
            <w:r>
              <w:rPr>
                <w:b/>
                <w:color w:val="14314A"/>
                <w:sz w:val="21"/>
              </w:rPr>
              <w:t>Alternative Assessment Researcher: Eliana El-Khoury</w:t>
            </w:r>
          </w:p>
          <w:p w14:paraId="1F134C7A" w14:textId="77777777" w:rsidR="00BF1DFC" w:rsidRDefault="00A84826">
            <w:pPr>
              <w:spacing w:after="40" w:line="283" w:lineRule="auto"/>
              <w:rPr>
                <w:rFonts w:hint="eastAsia"/>
              </w:rPr>
            </w:pPr>
            <w:r>
              <w:rPr>
                <w:sz w:val="18"/>
              </w:rPr>
              <w:t>YouTube channel shared as a starting point for alternative assessment research.</w:t>
            </w:r>
          </w:p>
          <w:p w14:paraId="4269952C" w14:textId="4E92A5B1" w:rsidR="00BF1DFC" w:rsidRDefault="00A84826">
            <w:pPr>
              <w:spacing w:after="0" w:line="283" w:lineRule="auto"/>
              <w:rPr>
                <w:rFonts w:hint="eastAsia"/>
              </w:rPr>
            </w:pPr>
            <w:r>
              <w:rPr>
                <w:color w:val="526473"/>
                <w:sz w:val="16"/>
              </w:rPr>
              <w:t xml:space="preserve">·  </w:t>
            </w:r>
            <w:hyperlink r:id="rId10">
              <w:r>
                <w:rPr>
                  <w:b/>
                  <w:color w:val="0C686F"/>
                  <w:sz w:val="18"/>
                  <w:u w:val="single"/>
                </w:rPr>
                <w:t>youtube.com/@elianael-khoury7069</w:t>
              </w:r>
            </w:hyperlink>
          </w:p>
        </w:tc>
      </w:tr>
    </w:tbl>
    <w:p w14:paraId="1961DDE0" w14:textId="77777777" w:rsidR="00BF1DFC" w:rsidRDefault="00BF1DFC">
      <w:pPr>
        <w:spacing w:after="20" w:line="240" w:lineRule="auto"/>
        <w:rPr>
          <w:rFonts w:hint="eastAsia"/>
        </w:rPr>
      </w:pPr>
    </w:p>
    <w:tbl>
      <w:tblPr>
        <w:tblW w:w="0" w:type="auto"/>
        <w:jc w:val="center"/>
        <w:tblLayout w:type="fixed"/>
        <w:tblLook w:val="04A0" w:firstRow="1" w:lastRow="0" w:firstColumn="1" w:lastColumn="0" w:noHBand="0" w:noVBand="1"/>
      </w:tblPr>
      <w:tblGrid>
        <w:gridCol w:w="734"/>
        <w:gridCol w:w="9101"/>
      </w:tblGrid>
      <w:tr w:rsidR="00BF1DFC" w14:paraId="314FD0C7" w14:textId="77777777">
        <w:trPr>
          <w:cantSplit/>
          <w:jc w:val="center"/>
        </w:trPr>
        <w:tc>
          <w:tcPr>
            <w:tcW w:w="734" w:type="dxa"/>
            <w:shd w:val="clear" w:color="auto" w:fill="E9F3F4"/>
            <w:tcMar>
              <w:top w:w="130" w:type="dxa"/>
              <w:left w:w="58" w:type="dxa"/>
              <w:bottom w:w="115" w:type="dxa"/>
              <w:right w:w="40" w:type="dxa"/>
            </w:tcMar>
            <w:vAlign w:val="center"/>
          </w:tcPr>
          <w:p w14:paraId="5A899B7D" w14:textId="77777777" w:rsidR="00BF1DFC" w:rsidRDefault="00A84826">
            <w:pPr>
              <w:spacing w:after="0" w:line="276" w:lineRule="auto"/>
              <w:jc w:val="center"/>
              <w:rPr>
                <w:rFonts w:hint="eastAsia"/>
              </w:rPr>
            </w:pPr>
            <w:r>
              <w:rPr>
                <w:b/>
                <w:color w:val="0C686F"/>
                <w:sz w:val="21"/>
              </w:rPr>
              <w:t>04</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6C1EDE54" w14:textId="77777777" w:rsidR="00BF1DFC" w:rsidRDefault="00A84826">
            <w:pPr>
              <w:spacing w:after="40" w:line="276" w:lineRule="auto"/>
              <w:rPr>
                <w:rFonts w:hint="eastAsia"/>
              </w:rPr>
            </w:pPr>
            <w:r>
              <w:rPr>
                <w:b/>
                <w:color w:val="14314A"/>
                <w:sz w:val="21"/>
              </w:rPr>
              <w:t>Dr. Philippa Hardman — Substack</w:t>
            </w:r>
          </w:p>
          <w:p w14:paraId="77442723" w14:textId="77777777" w:rsidR="00BF1DFC" w:rsidRDefault="00A84826">
            <w:pPr>
              <w:spacing w:after="40" w:line="283" w:lineRule="auto"/>
              <w:rPr>
                <w:rFonts w:hint="eastAsia"/>
              </w:rPr>
            </w:pPr>
            <w:r>
              <w:rPr>
                <w:sz w:val="18"/>
              </w:rPr>
              <w:t>Research and commentary on learning design, instructional design and AI, requested by several attendees.</w:t>
            </w:r>
          </w:p>
          <w:p w14:paraId="0C9E55D7" w14:textId="6AEB5F60" w:rsidR="00BF1DFC" w:rsidRDefault="00A84826">
            <w:pPr>
              <w:spacing w:after="0" w:line="283" w:lineRule="auto"/>
              <w:rPr>
                <w:rFonts w:hint="eastAsia"/>
              </w:rPr>
            </w:pPr>
            <w:r>
              <w:rPr>
                <w:color w:val="526473"/>
                <w:sz w:val="16"/>
              </w:rPr>
              <w:t xml:space="preserve">.  ·  </w:t>
            </w:r>
            <w:hyperlink r:id="rId11">
              <w:r>
                <w:rPr>
                  <w:b/>
                  <w:color w:val="0C686F"/>
                  <w:sz w:val="18"/>
                  <w:u w:val="single"/>
                </w:rPr>
                <w:t>drphilippahardman.substack.com</w:t>
              </w:r>
            </w:hyperlink>
          </w:p>
        </w:tc>
      </w:tr>
    </w:tbl>
    <w:p w14:paraId="5E093A8F" w14:textId="77777777" w:rsidR="00BF1DFC" w:rsidRDefault="00BF1DFC">
      <w:pPr>
        <w:spacing w:after="20" w:line="240" w:lineRule="auto"/>
        <w:rPr>
          <w:rFonts w:hint="eastAsia"/>
        </w:rPr>
      </w:pPr>
    </w:p>
    <w:p w14:paraId="231858BE" w14:textId="77777777" w:rsidR="00BF1DFC" w:rsidRDefault="00A84826">
      <w:pPr>
        <w:keepNext/>
        <w:spacing w:before="260" w:after="60" w:line="276" w:lineRule="auto"/>
        <w:rPr>
          <w:rFonts w:hint="eastAsia"/>
        </w:rPr>
      </w:pPr>
      <w:r>
        <w:rPr>
          <w:b/>
          <w:color w:val="127F87"/>
        </w:rPr>
        <w:t xml:space="preserve">02  </w:t>
      </w:r>
      <w:r>
        <w:rPr>
          <w:b/>
          <w:color w:val="14314A"/>
          <w:sz w:val="24"/>
        </w:rPr>
        <w:t>Research &amp; scholarly reading</w:t>
      </w:r>
    </w:p>
    <w:tbl>
      <w:tblPr>
        <w:tblW w:w="0" w:type="auto"/>
        <w:jc w:val="center"/>
        <w:tblLayout w:type="fixed"/>
        <w:tblLook w:val="04A0" w:firstRow="1" w:lastRow="0" w:firstColumn="1" w:lastColumn="0" w:noHBand="0" w:noVBand="1"/>
      </w:tblPr>
      <w:tblGrid>
        <w:gridCol w:w="734"/>
        <w:gridCol w:w="9101"/>
      </w:tblGrid>
      <w:tr w:rsidR="00BF1DFC" w14:paraId="06D22E37" w14:textId="77777777">
        <w:trPr>
          <w:cantSplit/>
          <w:jc w:val="center"/>
        </w:trPr>
        <w:tc>
          <w:tcPr>
            <w:tcW w:w="734" w:type="dxa"/>
            <w:shd w:val="clear" w:color="auto" w:fill="E9F3F4"/>
            <w:tcMar>
              <w:top w:w="130" w:type="dxa"/>
              <w:left w:w="58" w:type="dxa"/>
              <w:bottom w:w="115" w:type="dxa"/>
              <w:right w:w="40" w:type="dxa"/>
            </w:tcMar>
            <w:vAlign w:val="center"/>
          </w:tcPr>
          <w:p w14:paraId="78112DDD" w14:textId="77777777" w:rsidR="00BF1DFC" w:rsidRDefault="00A84826">
            <w:pPr>
              <w:spacing w:after="0" w:line="276" w:lineRule="auto"/>
              <w:jc w:val="center"/>
              <w:rPr>
                <w:rFonts w:hint="eastAsia"/>
              </w:rPr>
            </w:pPr>
            <w:r>
              <w:rPr>
                <w:b/>
                <w:color w:val="0C686F"/>
                <w:sz w:val="21"/>
              </w:rPr>
              <w:t>05</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46196402" w14:textId="77777777" w:rsidR="00BF1DFC" w:rsidRDefault="00A84826">
            <w:pPr>
              <w:spacing w:after="40" w:line="276" w:lineRule="auto"/>
              <w:rPr>
                <w:rFonts w:hint="eastAsia"/>
              </w:rPr>
            </w:pPr>
            <w:r>
              <w:rPr>
                <w:b/>
                <w:color w:val="14314A"/>
                <w:sz w:val="21"/>
              </w:rPr>
              <w:t>The Wicked Problem of AI and Assessment</w:t>
            </w:r>
          </w:p>
          <w:p w14:paraId="571E69C8" w14:textId="77777777" w:rsidR="00BF1DFC" w:rsidRDefault="00A84826">
            <w:pPr>
              <w:spacing w:after="40" w:line="283" w:lineRule="auto"/>
              <w:rPr>
                <w:rFonts w:hint="eastAsia"/>
              </w:rPr>
            </w:pPr>
            <w:r>
              <w:rPr>
                <w:sz w:val="18"/>
              </w:rPr>
              <w:t>Corbin, Bearman, Boud &amp; Dawson; paper on why assessment in the AI era resists a single, definitive solution.</w:t>
            </w:r>
          </w:p>
          <w:p w14:paraId="44CCFB51" w14:textId="62B6CB2D" w:rsidR="00BF1DFC" w:rsidRDefault="00A84826">
            <w:pPr>
              <w:spacing w:after="0" w:line="283" w:lineRule="auto"/>
              <w:rPr>
                <w:rFonts w:hint="eastAsia"/>
              </w:rPr>
            </w:pPr>
            <w:r>
              <w:rPr>
                <w:color w:val="526473"/>
                <w:sz w:val="16"/>
              </w:rPr>
              <w:t xml:space="preserve">·  </w:t>
            </w:r>
            <w:hyperlink r:id="rId12">
              <w:r>
                <w:rPr>
                  <w:b/>
                  <w:color w:val="0C686F"/>
                  <w:sz w:val="18"/>
                  <w:u w:val="single"/>
                </w:rPr>
                <w:t>doi.org/10.1080/02602938.2025.2553340</w:t>
              </w:r>
            </w:hyperlink>
          </w:p>
        </w:tc>
      </w:tr>
    </w:tbl>
    <w:p w14:paraId="4843BB03" w14:textId="77777777" w:rsidR="00BF1DFC" w:rsidRDefault="00BF1DFC">
      <w:pPr>
        <w:spacing w:after="20" w:line="240" w:lineRule="auto"/>
        <w:rPr>
          <w:rFonts w:hint="eastAsia"/>
        </w:rPr>
      </w:pPr>
    </w:p>
    <w:tbl>
      <w:tblPr>
        <w:tblW w:w="0" w:type="auto"/>
        <w:jc w:val="center"/>
        <w:tblLayout w:type="fixed"/>
        <w:tblLook w:val="04A0" w:firstRow="1" w:lastRow="0" w:firstColumn="1" w:lastColumn="0" w:noHBand="0" w:noVBand="1"/>
      </w:tblPr>
      <w:tblGrid>
        <w:gridCol w:w="734"/>
        <w:gridCol w:w="9101"/>
      </w:tblGrid>
      <w:tr w:rsidR="00BF1DFC" w14:paraId="49C01EE7" w14:textId="77777777">
        <w:trPr>
          <w:cantSplit/>
          <w:jc w:val="center"/>
        </w:trPr>
        <w:tc>
          <w:tcPr>
            <w:tcW w:w="734" w:type="dxa"/>
            <w:shd w:val="clear" w:color="auto" w:fill="E9F3F4"/>
            <w:tcMar>
              <w:top w:w="130" w:type="dxa"/>
              <w:left w:w="58" w:type="dxa"/>
              <w:bottom w:w="115" w:type="dxa"/>
              <w:right w:w="40" w:type="dxa"/>
            </w:tcMar>
            <w:vAlign w:val="center"/>
          </w:tcPr>
          <w:p w14:paraId="696A436B" w14:textId="77777777" w:rsidR="00BF1DFC" w:rsidRDefault="00A84826">
            <w:pPr>
              <w:spacing w:after="0" w:line="276" w:lineRule="auto"/>
              <w:jc w:val="center"/>
              <w:rPr>
                <w:rFonts w:hint="eastAsia"/>
              </w:rPr>
            </w:pPr>
            <w:r>
              <w:rPr>
                <w:b/>
                <w:color w:val="0C686F"/>
                <w:sz w:val="21"/>
              </w:rPr>
              <w:t>06</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2CA95E34" w14:textId="77777777" w:rsidR="00BF1DFC" w:rsidRDefault="00A84826">
            <w:pPr>
              <w:spacing w:after="40" w:line="276" w:lineRule="auto"/>
              <w:rPr>
                <w:rFonts w:hint="eastAsia"/>
              </w:rPr>
            </w:pPr>
            <w:r>
              <w:rPr>
                <w:b/>
                <w:color w:val="14314A"/>
                <w:sz w:val="21"/>
              </w:rPr>
              <w:t>How Many Scientists Fabricate and Falsify Research?</w:t>
            </w:r>
          </w:p>
          <w:p w14:paraId="788FADCE" w14:textId="77777777" w:rsidR="00BF1DFC" w:rsidRDefault="00A84826">
            <w:pPr>
              <w:spacing w:after="40" w:line="283" w:lineRule="auto"/>
              <w:rPr>
                <w:rFonts w:hint="eastAsia"/>
              </w:rPr>
            </w:pPr>
            <w:r>
              <w:rPr>
                <w:sz w:val="18"/>
              </w:rPr>
              <w:t>Fanelli (2009), a systematic review and meta-analysis cited during a discussion of academic integrity in research.</w:t>
            </w:r>
          </w:p>
          <w:p w14:paraId="3B0BAB87" w14:textId="199D6D5E" w:rsidR="00BF1DFC" w:rsidRDefault="00A84826">
            <w:pPr>
              <w:spacing w:after="0" w:line="283" w:lineRule="auto"/>
              <w:rPr>
                <w:rFonts w:hint="eastAsia"/>
              </w:rPr>
            </w:pPr>
            <w:r>
              <w:rPr>
                <w:color w:val="526473"/>
                <w:sz w:val="16"/>
              </w:rPr>
              <w:t xml:space="preserve">·  </w:t>
            </w:r>
            <w:hyperlink r:id="rId13">
              <w:r>
                <w:rPr>
                  <w:b/>
                  <w:color w:val="0C686F"/>
                  <w:sz w:val="18"/>
                  <w:u w:val="single"/>
                </w:rPr>
                <w:t>pmc.ncbi.nlm.nih.gov/articles/PMC2685008</w:t>
              </w:r>
            </w:hyperlink>
          </w:p>
        </w:tc>
      </w:tr>
    </w:tbl>
    <w:p w14:paraId="6A6E5AFB" w14:textId="77777777" w:rsidR="00BF1DFC" w:rsidRDefault="00BF1DFC">
      <w:pPr>
        <w:spacing w:after="20" w:line="240" w:lineRule="auto"/>
        <w:rPr>
          <w:rFonts w:hint="eastAsia"/>
        </w:rPr>
      </w:pPr>
    </w:p>
    <w:p w14:paraId="26A551EF" w14:textId="77777777" w:rsidR="00BF1DFC" w:rsidRDefault="00A84826">
      <w:pPr>
        <w:keepNext/>
        <w:spacing w:before="260" w:after="60" w:line="276" w:lineRule="auto"/>
        <w:rPr>
          <w:rFonts w:hint="eastAsia"/>
        </w:rPr>
      </w:pPr>
      <w:r>
        <w:rPr>
          <w:b/>
          <w:color w:val="127F87"/>
        </w:rPr>
        <w:lastRenderedPageBreak/>
        <w:t xml:space="preserve">03  </w:t>
      </w:r>
      <w:r>
        <w:rPr>
          <w:b/>
          <w:color w:val="14314A"/>
          <w:sz w:val="24"/>
        </w:rPr>
        <w:t>Other links mentioned in chat</w:t>
      </w:r>
    </w:p>
    <w:tbl>
      <w:tblPr>
        <w:tblW w:w="0" w:type="auto"/>
        <w:jc w:val="center"/>
        <w:tblLayout w:type="fixed"/>
        <w:tblLook w:val="04A0" w:firstRow="1" w:lastRow="0" w:firstColumn="1" w:lastColumn="0" w:noHBand="0" w:noVBand="1"/>
      </w:tblPr>
      <w:tblGrid>
        <w:gridCol w:w="734"/>
        <w:gridCol w:w="9101"/>
      </w:tblGrid>
      <w:tr w:rsidR="00BF1DFC" w14:paraId="40920A7A" w14:textId="77777777">
        <w:trPr>
          <w:cantSplit/>
          <w:jc w:val="center"/>
        </w:trPr>
        <w:tc>
          <w:tcPr>
            <w:tcW w:w="734" w:type="dxa"/>
            <w:shd w:val="clear" w:color="auto" w:fill="E9F3F4"/>
            <w:tcMar>
              <w:top w:w="130" w:type="dxa"/>
              <w:left w:w="58" w:type="dxa"/>
              <w:bottom w:w="115" w:type="dxa"/>
              <w:right w:w="40" w:type="dxa"/>
            </w:tcMar>
            <w:vAlign w:val="center"/>
          </w:tcPr>
          <w:p w14:paraId="2F45163E" w14:textId="77777777" w:rsidR="00BF1DFC" w:rsidRDefault="00A84826">
            <w:pPr>
              <w:spacing w:after="0" w:line="276" w:lineRule="auto"/>
              <w:jc w:val="center"/>
              <w:rPr>
                <w:rFonts w:hint="eastAsia"/>
              </w:rPr>
            </w:pPr>
            <w:r>
              <w:rPr>
                <w:b/>
                <w:color w:val="0C686F"/>
                <w:sz w:val="21"/>
              </w:rPr>
              <w:t>07</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087308E4" w14:textId="77777777" w:rsidR="00BF1DFC" w:rsidRDefault="00A84826">
            <w:pPr>
              <w:spacing w:after="40" w:line="276" w:lineRule="auto"/>
              <w:rPr>
                <w:rFonts w:hint="eastAsia"/>
              </w:rPr>
            </w:pPr>
            <w:r>
              <w:rPr>
                <w:b/>
                <w:color w:val="14314A"/>
                <w:sz w:val="21"/>
              </w:rPr>
              <w:t>Evergreen Certifications</w:t>
            </w:r>
          </w:p>
          <w:p w14:paraId="4028C76E" w14:textId="77777777" w:rsidR="00BF1DFC" w:rsidRDefault="00A84826">
            <w:pPr>
              <w:spacing w:after="40" w:line="283" w:lineRule="auto"/>
              <w:rPr>
                <w:rFonts w:hint="eastAsia"/>
              </w:rPr>
            </w:pPr>
            <w:r>
              <w:rPr>
                <w:sz w:val="18"/>
              </w:rPr>
              <w:t>Certification organization linked during a discussion of evergreen skills. Its site focuses on professional certifications, so its connection to the skills concept should not be assumed.</w:t>
            </w:r>
          </w:p>
          <w:p w14:paraId="77778E11" w14:textId="477977D4" w:rsidR="00BF1DFC" w:rsidRDefault="00A84826">
            <w:pPr>
              <w:spacing w:after="0" w:line="283" w:lineRule="auto"/>
              <w:rPr>
                <w:rFonts w:hint="eastAsia"/>
              </w:rPr>
            </w:pPr>
            <w:r>
              <w:rPr>
                <w:color w:val="526473"/>
                <w:sz w:val="16"/>
              </w:rPr>
              <w:t xml:space="preserve">·  </w:t>
            </w:r>
            <w:hyperlink r:id="rId14">
              <w:r>
                <w:rPr>
                  <w:b/>
                  <w:color w:val="0C686F"/>
                  <w:sz w:val="18"/>
                  <w:u w:val="single"/>
                </w:rPr>
                <w:t>evergreencertifications.com</w:t>
              </w:r>
            </w:hyperlink>
          </w:p>
        </w:tc>
      </w:tr>
    </w:tbl>
    <w:p w14:paraId="3DA8BE2A" w14:textId="77777777" w:rsidR="00BF1DFC" w:rsidRDefault="00BF1DFC">
      <w:pPr>
        <w:spacing w:after="20" w:line="240" w:lineRule="auto"/>
        <w:rPr>
          <w:rFonts w:hint="eastAsia"/>
        </w:rPr>
      </w:pPr>
    </w:p>
    <w:tbl>
      <w:tblPr>
        <w:tblW w:w="0" w:type="auto"/>
        <w:jc w:val="center"/>
        <w:tblLayout w:type="fixed"/>
        <w:tblLook w:val="04A0" w:firstRow="1" w:lastRow="0" w:firstColumn="1" w:lastColumn="0" w:noHBand="0" w:noVBand="1"/>
      </w:tblPr>
      <w:tblGrid>
        <w:gridCol w:w="734"/>
        <w:gridCol w:w="9101"/>
      </w:tblGrid>
      <w:tr w:rsidR="00BF1DFC" w14:paraId="7F90C285" w14:textId="77777777">
        <w:trPr>
          <w:cantSplit/>
          <w:jc w:val="center"/>
        </w:trPr>
        <w:tc>
          <w:tcPr>
            <w:tcW w:w="734" w:type="dxa"/>
            <w:shd w:val="clear" w:color="auto" w:fill="E9F3F4"/>
            <w:tcMar>
              <w:top w:w="130" w:type="dxa"/>
              <w:left w:w="58" w:type="dxa"/>
              <w:bottom w:w="115" w:type="dxa"/>
              <w:right w:w="40" w:type="dxa"/>
            </w:tcMar>
            <w:vAlign w:val="center"/>
          </w:tcPr>
          <w:p w14:paraId="0D9434EA" w14:textId="77777777" w:rsidR="00BF1DFC" w:rsidRDefault="00A84826">
            <w:pPr>
              <w:spacing w:after="0" w:line="276" w:lineRule="auto"/>
              <w:jc w:val="center"/>
              <w:rPr>
                <w:rFonts w:hint="eastAsia"/>
              </w:rPr>
            </w:pPr>
            <w:r>
              <w:rPr>
                <w:b/>
                <w:color w:val="0C686F"/>
                <w:sz w:val="21"/>
              </w:rPr>
              <w:t>08</w:t>
            </w:r>
          </w:p>
        </w:tc>
        <w:tc>
          <w:tcPr>
            <w:tcW w:w="9101" w:type="dxa"/>
            <w:tcBorders>
              <w:bottom w:val="single" w:sz="4" w:space="0" w:color="D7E2E7"/>
            </w:tcBorders>
            <w:shd w:val="clear" w:color="auto" w:fill="FFFFFF"/>
            <w:tcMar>
              <w:top w:w="125" w:type="dxa"/>
              <w:left w:w="130" w:type="dxa"/>
              <w:bottom w:w="120" w:type="dxa"/>
              <w:right w:w="85" w:type="dxa"/>
            </w:tcMar>
            <w:vAlign w:val="center"/>
          </w:tcPr>
          <w:p w14:paraId="09BEBED1" w14:textId="77777777" w:rsidR="00BF1DFC" w:rsidRDefault="00A84826">
            <w:pPr>
              <w:spacing w:after="40" w:line="276" w:lineRule="auto"/>
              <w:rPr>
                <w:rFonts w:hint="eastAsia"/>
              </w:rPr>
            </w:pPr>
            <w:r>
              <w:rPr>
                <w:b/>
                <w:color w:val="14314A"/>
                <w:sz w:val="21"/>
              </w:rPr>
              <w:t>Mapping the Precariat: The Structural Limits of Open Education</w:t>
            </w:r>
          </w:p>
          <w:p w14:paraId="75AB082D" w14:textId="77777777" w:rsidR="00BF1DFC" w:rsidRDefault="00A84826">
            <w:pPr>
              <w:spacing w:after="40" w:line="283" w:lineRule="auto"/>
              <w:rPr>
                <w:rFonts w:hint="eastAsia"/>
              </w:rPr>
            </w:pPr>
            <w:r>
              <w:rPr>
                <w:sz w:val="18"/>
              </w:rPr>
              <w:t>YouTube video shared at the beginning of the session; no explanation of its relevance accompanied the link.</w:t>
            </w:r>
          </w:p>
          <w:p w14:paraId="3D65A5A7" w14:textId="19F6E133" w:rsidR="00BF1DFC" w:rsidRDefault="00A84826">
            <w:pPr>
              <w:spacing w:after="0" w:line="283" w:lineRule="auto"/>
              <w:rPr>
                <w:rFonts w:hint="eastAsia"/>
              </w:rPr>
            </w:pPr>
            <w:r>
              <w:rPr>
                <w:color w:val="526473"/>
                <w:sz w:val="16"/>
              </w:rPr>
              <w:t xml:space="preserve">·  </w:t>
            </w:r>
            <w:hyperlink r:id="rId15">
              <w:r>
                <w:rPr>
                  <w:b/>
                  <w:color w:val="0C686F"/>
                  <w:sz w:val="18"/>
                  <w:u w:val="single"/>
                </w:rPr>
                <w:t>youtu.be/7cns5UmaJGU</w:t>
              </w:r>
            </w:hyperlink>
          </w:p>
        </w:tc>
      </w:tr>
    </w:tbl>
    <w:p w14:paraId="6F8353C3" w14:textId="77777777" w:rsidR="00BF1DFC" w:rsidRDefault="00BF1DFC">
      <w:pPr>
        <w:spacing w:after="20" w:line="240" w:lineRule="auto"/>
        <w:rPr>
          <w:rFonts w:hint="eastAsia"/>
        </w:rPr>
      </w:pPr>
    </w:p>
    <w:p w14:paraId="1C314BF7" w14:textId="77777777" w:rsidR="00BF1DFC" w:rsidRDefault="00A84826">
      <w:pPr>
        <w:keepNext/>
        <w:spacing w:before="260" w:after="60" w:line="276" w:lineRule="auto"/>
        <w:rPr>
          <w:rFonts w:hint="eastAsia"/>
        </w:rPr>
      </w:pPr>
      <w:r>
        <w:rPr>
          <w:b/>
          <w:color w:val="127F87"/>
        </w:rPr>
        <w:t xml:space="preserve">04  </w:t>
      </w:r>
      <w:r>
        <w:rPr>
          <w:b/>
          <w:color w:val="14314A"/>
          <w:sz w:val="24"/>
        </w:rPr>
        <w:t>Named resources &amp; ideas without a chat link</w:t>
      </w:r>
    </w:p>
    <w:p w14:paraId="2A3BFA67" w14:textId="77777777" w:rsidR="00BF1DFC" w:rsidRDefault="00A84826">
      <w:pPr>
        <w:keepNext/>
        <w:spacing w:after="140" w:line="276" w:lineRule="auto"/>
        <w:rPr>
          <w:rFonts w:hint="eastAsia"/>
        </w:rPr>
      </w:pPr>
      <w:r>
        <w:rPr>
          <w:color w:val="526473"/>
          <w:sz w:val="18"/>
        </w:rPr>
        <w:t>The following were specifically mentioned but not accompanied by a URL.</w:t>
      </w:r>
    </w:p>
    <w:p w14:paraId="5A0219AF" w14:textId="77777777" w:rsidR="00BF1DFC" w:rsidRDefault="00A84826">
      <w:pPr>
        <w:spacing w:before="60" w:after="60" w:line="283" w:lineRule="auto"/>
        <w:ind w:left="274" w:hanging="216"/>
        <w:rPr>
          <w:rFonts w:hint="eastAsia"/>
        </w:rPr>
      </w:pPr>
      <w:r>
        <w:rPr>
          <w:b/>
          <w:color w:val="127F87"/>
          <w:sz w:val="18"/>
        </w:rPr>
        <w:t xml:space="preserve">•  </w:t>
      </w:r>
      <w:r>
        <w:rPr>
          <w:b/>
          <w:color w:val="14314A"/>
          <w:sz w:val="18"/>
        </w:rPr>
        <w:t>Assessment Twins: A Protocol for AI-Vulnerable Summative Assessment</w:t>
      </w:r>
      <w:r>
        <w:rPr>
          <w:color w:val="526473"/>
          <w:sz w:val="18"/>
        </w:rPr>
        <w:t xml:space="preserve">  Roe, J., Perkins, M., &amp; Giray, L. (2025). A participant provided the citation, not a link.</w:t>
      </w:r>
    </w:p>
    <w:p w14:paraId="1DA0275E" w14:textId="77777777" w:rsidR="00BF1DFC" w:rsidRDefault="00A84826">
      <w:pPr>
        <w:spacing w:before="60" w:after="60" w:line="283" w:lineRule="auto"/>
        <w:ind w:left="274" w:hanging="216"/>
        <w:rPr>
          <w:rFonts w:hint="eastAsia"/>
        </w:rPr>
      </w:pPr>
      <w:r>
        <w:rPr>
          <w:b/>
          <w:color w:val="127F87"/>
          <w:sz w:val="18"/>
        </w:rPr>
        <w:t xml:space="preserve">•  </w:t>
      </w:r>
      <w:r>
        <w:rPr>
          <w:b/>
          <w:color w:val="14314A"/>
          <w:sz w:val="18"/>
        </w:rPr>
        <w:t>The Lost Tools of Learning</w:t>
      </w:r>
      <w:r>
        <w:rPr>
          <w:color w:val="526473"/>
          <w:sz w:val="18"/>
        </w:rPr>
        <w:t xml:space="preserve">  Essay by Dorothy Sayers, recommended as a worthwhile reading.</w:t>
      </w:r>
    </w:p>
    <w:p w14:paraId="2412FDFE" w14:textId="77777777" w:rsidR="00BF1DFC" w:rsidRDefault="00A84826">
      <w:pPr>
        <w:spacing w:before="60" w:after="60" w:line="283" w:lineRule="auto"/>
        <w:ind w:left="274" w:hanging="216"/>
        <w:rPr>
          <w:rFonts w:hint="eastAsia"/>
        </w:rPr>
      </w:pPr>
      <w:r>
        <w:rPr>
          <w:b/>
          <w:color w:val="127F87"/>
          <w:sz w:val="18"/>
        </w:rPr>
        <w:t xml:space="preserve">•  </w:t>
      </w:r>
      <w:r>
        <w:rPr>
          <w:b/>
          <w:color w:val="14314A"/>
          <w:sz w:val="18"/>
        </w:rPr>
        <w:t>Build, Adapt, Defend</w:t>
      </w:r>
      <w:r>
        <w:rPr>
          <w:color w:val="526473"/>
          <w:sz w:val="18"/>
        </w:rPr>
        <w:t xml:space="preserve">  Assessment-design strategy praised in the chat. No standalone guide or URL was supplied.</w:t>
      </w:r>
    </w:p>
    <w:p w14:paraId="07A6BFA3" w14:textId="77777777" w:rsidR="00BF1DFC" w:rsidRDefault="00A84826">
      <w:pPr>
        <w:spacing w:before="60" w:after="60" w:line="283" w:lineRule="auto"/>
        <w:ind w:left="274" w:hanging="216"/>
        <w:rPr>
          <w:rFonts w:hint="eastAsia"/>
        </w:rPr>
      </w:pPr>
      <w:r>
        <w:rPr>
          <w:b/>
          <w:color w:val="127F87"/>
          <w:sz w:val="18"/>
        </w:rPr>
        <w:t xml:space="preserve">•  </w:t>
      </w:r>
      <w:r>
        <w:rPr>
          <w:b/>
          <w:color w:val="14314A"/>
          <w:sz w:val="18"/>
        </w:rPr>
        <w:t>“Learn-it-alls” quotation</w:t>
      </w:r>
      <w:r>
        <w:rPr>
          <w:color w:val="526473"/>
          <w:sz w:val="18"/>
        </w:rPr>
        <w:t xml:space="preserve">  Attributed in the chat to Danny Meyer, Harvard Business Review (September 2026); no article title or link was given.</w:t>
      </w:r>
    </w:p>
    <w:p w14:paraId="231272D5" w14:textId="77777777" w:rsidR="00BF1DFC" w:rsidRDefault="00A84826">
      <w:pPr>
        <w:spacing w:before="60" w:after="60" w:line="283" w:lineRule="auto"/>
        <w:ind w:left="274" w:hanging="216"/>
        <w:rPr>
          <w:rFonts w:hint="eastAsia"/>
        </w:rPr>
      </w:pPr>
      <w:r>
        <w:rPr>
          <w:b/>
          <w:color w:val="127F87"/>
          <w:sz w:val="18"/>
        </w:rPr>
        <w:t xml:space="preserve">•  </w:t>
      </w:r>
      <w:r>
        <w:rPr>
          <w:b/>
          <w:color w:val="14314A"/>
          <w:sz w:val="18"/>
        </w:rPr>
        <w:t>Additional approaches</w:t>
      </w:r>
      <w:r>
        <w:rPr>
          <w:color w:val="526473"/>
          <w:sz w:val="18"/>
        </w:rPr>
        <w:t xml:space="preserve">  Progressive assessment, digital portfolios, program-level comprehensive assessment and institutional teaching-and-learning support were also discussed.</w:t>
      </w:r>
    </w:p>
    <w:tbl>
      <w:tblPr>
        <w:tblW w:w="0" w:type="auto"/>
        <w:tblLook w:val="04A0" w:firstRow="1" w:lastRow="0" w:firstColumn="1" w:lastColumn="0" w:noHBand="0" w:noVBand="1"/>
      </w:tblPr>
      <w:tblGrid>
        <w:gridCol w:w="9956"/>
      </w:tblGrid>
      <w:tr w:rsidR="00BF1DFC" w14:paraId="54C38E72" w14:textId="77777777">
        <w:tc>
          <w:tcPr>
            <w:tcW w:w="9979" w:type="dxa"/>
            <w:tcBorders>
              <w:left w:val="single" w:sz="18" w:space="0" w:color="127F87"/>
            </w:tcBorders>
            <w:shd w:val="clear" w:color="auto" w:fill="EFF5F7"/>
            <w:tcMar>
              <w:top w:w="135" w:type="dxa"/>
              <w:left w:w="165" w:type="dxa"/>
              <w:bottom w:w="135" w:type="dxa"/>
              <w:right w:w="170" w:type="dxa"/>
            </w:tcMar>
          </w:tcPr>
          <w:p w14:paraId="15CC2C13" w14:textId="77777777" w:rsidR="00BF1DFC" w:rsidRDefault="00A84826">
            <w:pPr>
              <w:spacing w:after="0" w:line="295" w:lineRule="auto"/>
              <w:rPr>
                <w:rFonts w:hint="eastAsia"/>
              </w:rPr>
            </w:pPr>
            <w:r>
              <w:rPr>
                <w:sz w:val="18"/>
              </w:rPr>
              <w:t>Compilation note: URLs have been reconstructed where the PDF wrapped them across lines. The Humber tutorial link is listed without the extraneous trailing characters mentioned in chat. Resources were contributed by participants and are not endorsements by Contact North | Contact Nord. Availability and suitability may change.</w:t>
            </w:r>
          </w:p>
        </w:tc>
      </w:tr>
    </w:tbl>
    <w:p w14:paraId="6D3C986F" w14:textId="77777777" w:rsidR="00BF1DFC" w:rsidRDefault="00BF1DFC">
      <w:pPr>
        <w:spacing w:after="0" w:line="276" w:lineRule="auto"/>
        <w:rPr>
          <w:rFonts w:hint="eastAsia"/>
        </w:rPr>
      </w:pPr>
    </w:p>
    <w:sectPr w:rsidR="00BF1DFC" w:rsidSect="00034616">
      <w:headerReference w:type="default" r:id="rId16"/>
      <w:footerReference w:type="default" r:id="rId17"/>
      <w:pgSz w:w="12240" w:h="15840"/>
      <w:pgMar w:top="1066" w:right="1123" w:bottom="1051" w:left="1138" w:header="49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38E792" w14:textId="77777777" w:rsidR="00A84826" w:rsidRDefault="00A84826">
      <w:pPr>
        <w:spacing w:after="0" w:line="240" w:lineRule="auto"/>
        <w:rPr>
          <w:rFonts w:hint="eastAsia"/>
        </w:rPr>
      </w:pPr>
      <w:r>
        <w:separator/>
      </w:r>
    </w:p>
  </w:endnote>
  <w:endnote w:type="continuationSeparator" w:id="0">
    <w:p w14:paraId="574837F8" w14:textId="77777777" w:rsidR="00A84826" w:rsidRDefault="00A8482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ter">
    <w:altName w:val="Cambria"/>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62C00" w14:textId="77777777" w:rsidR="00BF1DFC" w:rsidRDefault="00A84826">
    <w:pPr>
      <w:pStyle w:val="Footer"/>
      <w:tabs>
        <w:tab w:val="right" w:pos="9950"/>
      </w:tabs>
      <w:spacing w:line="276" w:lineRule="auto"/>
      <w:rPr>
        <w:rFonts w:hint="eastAsia"/>
      </w:rPr>
    </w:pPr>
    <w:r>
      <w:rPr>
        <w:b/>
        <w:color w:val="526473"/>
        <w:sz w:val="15"/>
      </w:rPr>
      <w:t>20 OCTOBER 2026   •   WEBINAR CHAT RESOURCES</w:t>
    </w:r>
    <w:r>
      <w:rPr>
        <w:sz w:val="15"/>
      </w:rPr>
      <w:tab/>
    </w:r>
    <w:r>
      <w:rPr>
        <w:b/>
        <w:color w:val="526473"/>
        <w:sz w:val="15"/>
      </w:rPr>
      <w:t xml:space="preserve">PAGE </w:t>
    </w:r>
    <w:r>
      <w:rPr>
        <w:color w:val="526473"/>
        <w:sz w:val="15"/>
      </w:rPr>
      <w:fldChar w:fldCharType="begin"/>
    </w:r>
    <w:r>
      <w:rPr>
        <w:color w:val="526473"/>
        <w:sz w:val="15"/>
      </w:rPr>
      <w:instrText xml:space="preserve"> PAGE </w:instrText>
    </w:r>
    <w:r>
      <w:rPr>
        <w:color w:val="526473"/>
        <w:sz w:val="15"/>
      </w:rPr>
      <w:fldChar w:fldCharType="separate"/>
    </w:r>
    <w:r>
      <w:rPr>
        <w:color w:val="526473"/>
        <w:sz w:val="15"/>
      </w:rPr>
      <w:t>1</w:t>
    </w:r>
    <w:r>
      <w:rPr>
        <w:color w:val="526473"/>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A96F0A" w14:textId="77777777" w:rsidR="00A84826" w:rsidRDefault="00A84826">
      <w:pPr>
        <w:spacing w:after="0" w:line="240" w:lineRule="auto"/>
        <w:rPr>
          <w:rFonts w:hint="eastAsia"/>
        </w:rPr>
      </w:pPr>
      <w:r>
        <w:separator/>
      </w:r>
    </w:p>
  </w:footnote>
  <w:footnote w:type="continuationSeparator" w:id="0">
    <w:p w14:paraId="624A94DF" w14:textId="77777777" w:rsidR="00A84826" w:rsidRDefault="00A8482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03B592" w14:textId="77777777" w:rsidR="00BF1DFC" w:rsidRDefault="00A84826">
    <w:pPr>
      <w:pStyle w:val="Header"/>
      <w:pBdr>
        <w:bottom w:val="single" w:sz="5" w:space="6" w:color="E7ECEF"/>
      </w:pBdr>
      <w:tabs>
        <w:tab w:val="right" w:pos="9950"/>
      </w:tabs>
      <w:spacing w:line="276" w:lineRule="auto"/>
      <w:rPr>
        <w:rFonts w:hint="eastAsia"/>
      </w:rPr>
    </w:pPr>
    <w:r>
      <w:rPr>
        <w:b/>
        <w:color w:val="0C686F"/>
        <w:sz w:val="15"/>
      </w:rPr>
      <w:t xml:space="preserve">CONTACT </w:t>
    </w:r>
    <w:proofErr w:type="gramStart"/>
    <w:r>
      <w:rPr>
        <w:b/>
        <w:color w:val="0C686F"/>
        <w:sz w:val="15"/>
      </w:rPr>
      <w:t>NORTH  |</w:t>
    </w:r>
    <w:proofErr w:type="gramEnd"/>
    <w:r>
      <w:rPr>
        <w:b/>
        <w:color w:val="0C686F"/>
        <w:sz w:val="15"/>
      </w:rPr>
      <w:t xml:space="preserve">  CONTACT NORD</w:t>
    </w:r>
    <w:r>
      <w:rPr>
        <w:b/>
        <w:color w:val="526473"/>
        <w:sz w:val="15"/>
      </w:rPr>
      <w:tab/>
      <w:t>TEACHONLINE.CA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927040">
    <w:abstractNumId w:val="8"/>
  </w:num>
  <w:num w:numId="2" w16cid:durableId="162287011">
    <w:abstractNumId w:val="6"/>
  </w:num>
  <w:num w:numId="3" w16cid:durableId="620843308">
    <w:abstractNumId w:val="5"/>
  </w:num>
  <w:num w:numId="4" w16cid:durableId="2053727169">
    <w:abstractNumId w:val="4"/>
  </w:num>
  <w:num w:numId="5" w16cid:durableId="1512601890">
    <w:abstractNumId w:val="7"/>
  </w:num>
  <w:num w:numId="6" w16cid:durableId="492793310">
    <w:abstractNumId w:val="3"/>
  </w:num>
  <w:num w:numId="7" w16cid:durableId="315691311">
    <w:abstractNumId w:val="2"/>
  </w:num>
  <w:num w:numId="8" w16cid:durableId="1019165721">
    <w:abstractNumId w:val="1"/>
  </w:num>
  <w:num w:numId="9" w16cid:durableId="14475843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198A"/>
    <w:rsid w:val="00A84826"/>
    <w:rsid w:val="00AA1D8D"/>
    <w:rsid w:val="00B47730"/>
    <w:rsid w:val="00BF1DFC"/>
    <w:rsid w:val="00CB0664"/>
    <w:rsid w:val="00EA60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7E8D81"/>
  <w14:defaultImageDpi w14:val="300"/>
  <w15:docId w15:val="{CF9D6BFB-E6B1-F444-B3C2-61ADBF53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Inter" w:hAnsi="Inter"/>
      <w:color w:val="253441"/>
      <w:sz w:val="20"/>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4314A"/>
      <w:sz w:val="2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0C686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4314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humber.ca/tutorials/ai-minutes-co-thinking-ai" TargetMode="External"/><Relationship Id="rId13" Type="http://schemas.openxmlformats.org/officeDocument/2006/relationships/hyperlink" Target="https://pmc.ncbi.nlm.nih.gov/articles/PMC268500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02602938.2025.255334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philippahardman.substack.com/" TargetMode="External"/><Relationship Id="rId5" Type="http://schemas.openxmlformats.org/officeDocument/2006/relationships/webSettings" Target="webSettings.xml"/><Relationship Id="rId15" Type="http://schemas.openxmlformats.org/officeDocument/2006/relationships/hyperlink" Target="https://youtu.be/7cns5UmaJGU" TargetMode="External"/><Relationship Id="rId10" Type="http://schemas.openxmlformats.org/officeDocument/2006/relationships/hyperlink" Target="https://youtube.com/@elianael-khoury7069?si=F8oId8MdX_ewb6k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campusontario.pressbooks.pub/openeducationinagoodwayrediscoveringtogether/chapter/revising-an-assignment-for-deeper-reflection/" TargetMode="External"/><Relationship Id="rId14" Type="http://schemas.openxmlformats.org/officeDocument/2006/relationships/hyperlink" Target="https://www.evergreencertifica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513</Words>
  <Characters>3223</Characters>
  <Application>Microsoft Office Word</Application>
  <DocSecurity>0</DocSecurity>
  <Lines>73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Webinar Chat | Shared Links &amp; Resources</dc:title>
  <dc:subject>Resources shared in the live webinar chat, October 20, 2026</dc:subject>
  <dc:creator>Contact North | Contact Nord</dc:creator>
  <cp:keywords/>
  <dc:description>generated by python-docx</dc:description>
  <cp:lastModifiedBy>Sarah Gauvreau</cp:lastModifiedBy>
  <cp:revision>2</cp:revision>
  <dcterms:created xsi:type="dcterms:W3CDTF">2026-10-20T19:17:00Z</dcterms:created>
  <dcterms:modified xsi:type="dcterms:W3CDTF">2026-10-20T19:17:00Z</dcterms:modified>
  <cp:category/>
</cp:coreProperties>
</file>